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075"/>
        <w:gridCol w:w="5997"/>
      </w:tblGrid>
      <w:tr w:rsidR="003C7110" w:rsidRPr="00FF6DF6" w14:paraId="4652D118" w14:textId="77777777" w:rsidTr="003C7110">
        <w:tc>
          <w:tcPr>
            <w:tcW w:w="3075" w:type="dxa"/>
            <w:shd w:val="clear" w:color="auto" w:fill="auto"/>
            <w:hideMark/>
          </w:tcPr>
          <w:p w14:paraId="71505FA3" w14:textId="77777777" w:rsidR="003C7110" w:rsidRPr="003C7110" w:rsidRDefault="003C7110" w:rsidP="003C7110">
            <w:pPr>
              <w:autoSpaceDE w:val="0"/>
              <w:autoSpaceDN w:val="0"/>
              <w:adjustRightInd w:val="0"/>
              <w:rPr>
                <w:i/>
                <w:noProof/>
              </w:rPr>
            </w:pPr>
            <w:r w:rsidRPr="003C7110">
              <w:rPr>
                <w:i/>
                <w:noProof/>
              </w:rPr>
              <w:drawing>
                <wp:inline distT="0" distB="0" distL="0" distR="0" wp14:anchorId="722C4E74" wp14:editId="28CAA829">
                  <wp:extent cx="1276350" cy="14573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457325"/>
                          </a:xfrm>
                          <a:prstGeom prst="rect">
                            <a:avLst/>
                          </a:prstGeom>
                          <a:noFill/>
                          <a:ln>
                            <a:noFill/>
                          </a:ln>
                        </pic:spPr>
                      </pic:pic>
                    </a:graphicData>
                  </a:graphic>
                </wp:inline>
              </w:drawing>
            </w:r>
          </w:p>
        </w:tc>
        <w:tc>
          <w:tcPr>
            <w:tcW w:w="5997" w:type="dxa"/>
            <w:shd w:val="clear" w:color="auto" w:fill="auto"/>
          </w:tcPr>
          <w:p w14:paraId="3371F6DD" w14:textId="77777777" w:rsidR="003C7110" w:rsidRPr="003C7110" w:rsidRDefault="003C7110" w:rsidP="002166B1">
            <w:pPr>
              <w:autoSpaceDE w:val="0"/>
              <w:autoSpaceDN w:val="0"/>
              <w:adjustRightInd w:val="0"/>
              <w:jc w:val="center"/>
              <w:rPr>
                <w:rFonts w:ascii="Arial" w:hAnsi="Arial" w:cs="Arial"/>
                <w:b/>
                <w:bCs/>
                <w:color w:val="000000"/>
                <w:szCs w:val="32"/>
              </w:rPr>
            </w:pPr>
            <w:r w:rsidRPr="003C7110">
              <w:rPr>
                <w:rFonts w:ascii="Arial" w:hAnsi="Arial" w:cs="Arial"/>
                <w:b/>
                <w:bCs/>
                <w:color w:val="000000"/>
                <w:szCs w:val="32"/>
              </w:rPr>
              <w:t>CETA Abeille Noire de l’Orne</w:t>
            </w:r>
          </w:p>
          <w:p w14:paraId="36183F7F" w14:textId="77777777" w:rsidR="003C7110" w:rsidRPr="003C7110" w:rsidRDefault="003C7110" w:rsidP="002166B1">
            <w:pPr>
              <w:autoSpaceDE w:val="0"/>
              <w:autoSpaceDN w:val="0"/>
              <w:adjustRightInd w:val="0"/>
              <w:jc w:val="center"/>
              <w:rPr>
                <w:rFonts w:ascii="Arial" w:hAnsi="Arial" w:cs="Arial"/>
                <w:b/>
                <w:bCs/>
                <w:color w:val="000000"/>
                <w:szCs w:val="32"/>
              </w:rPr>
            </w:pPr>
            <w:r w:rsidRPr="003C7110">
              <w:rPr>
                <w:rFonts w:ascii="Arial" w:hAnsi="Arial" w:cs="Arial"/>
                <w:b/>
                <w:bCs/>
                <w:color w:val="000000"/>
                <w:szCs w:val="32"/>
              </w:rPr>
              <w:t>Centre d’étude technique apicole</w:t>
            </w:r>
          </w:p>
          <w:p w14:paraId="5B48C25A" w14:textId="77777777" w:rsidR="003C7110" w:rsidRPr="003C7110" w:rsidRDefault="003C7110" w:rsidP="003C7110">
            <w:pPr>
              <w:autoSpaceDE w:val="0"/>
              <w:autoSpaceDN w:val="0"/>
              <w:adjustRightInd w:val="0"/>
              <w:jc w:val="center"/>
              <w:rPr>
                <w:rFonts w:ascii="Arial" w:hAnsi="Arial" w:cs="Arial"/>
                <w:b/>
                <w:bCs/>
                <w:color w:val="000000"/>
                <w:szCs w:val="32"/>
              </w:rPr>
            </w:pPr>
            <w:r w:rsidRPr="003C7110">
              <w:rPr>
                <w:rFonts w:ascii="Arial" w:hAnsi="Arial" w:cs="Arial"/>
                <w:b/>
                <w:bCs/>
                <w:color w:val="000000"/>
                <w:szCs w:val="32"/>
              </w:rPr>
              <w:t>Adresse de correspondance postale</w:t>
            </w:r>
          </w:p>
          <w:p w14:paraId="1154E106" w14:textId="77777777" w:rsidR="003C7110" w:rsidRPr="003C7110" w:rsidRDefault="003C7110" w:rsidP="003C7110">
            <w:pPr>
              <w:autoSpaceDE w:val="0"/>
              <w:autoSpaceDN w:val="0"/>
              <w:adjustRightInd w:val="0"/>
              <w:jc w:val="center"/>
              <w:rPr>
                <w:rFonts w:ascii="Arial" w:hAnsi="Arial" w:cs="Arial"/>
                <w:b/>
                <w:bCs/>
                <w:color w:val="000000"/>
                <w:szCs w:val="32"/>
              </w:rPr>
            </w:pPr>
            <w:proofErr w:type="gramStart"/>
            <w:r w:rsidRPr="003C7110">
              <w:rPr>
                <w:rFonts w:ascii="Arial" w:hAnsi="Arial" w:cs="Arial"/>
                <w:b/>
                <w:bCs/>
                <w:color w:val="000000"/>
                <w:szCs w:val="32"/>
              </w:rPr>
              <w:t>la</w:t>
            </w:r>
            <w:proofErr w:type="gramEnd"/>
            <w:r w:rsidRPr="003C7110">
              <w:rPr>
                <w:rFonts w:ascii="Arial" w:hAnsi="Arial" w:cs="Arial"/>
                <w:b/>
                <w:bCs/>
                <w:color w:val="000000"/>
                <w:szCs w:val="32"/>
              </w:rPr>
              <w:t xml:space="preserve"> Dultière</w:t>
            </w:r>
          </w:p>
          <w:p w14:paraId="00494CFE" w14:textId="77777777" w:rsidR="003C7110" w:rsidRPr="003C7110" w:rsidRDefault="003C7110" w:rsidP="003C7110">
            <w:pPr>
              <w:autoSpaceDE w:val="0"/>
              <w:autoSpaceDN w:val="0"/>
              <w:adjustRightInd w:val="0"/>
              <w:jc w:val="center"/>
              <w:rPr>
                <w:rFonts w:ascii="Arial" w:hAnsi="Arial" w:cs="Arial"/>
                <w:b/>
                <w:bCs/>
                <w:color w:val="000000"/>
                <w:szCs w:val="32"/>
              </w:rPr>
            </w:pPr>
            <w:r w:rsidRPr="003C7110">
              <w:rPr>
                <w:rFonts w:ascii="Arial" w:hAnsi="Arial" w:cs="Arial"/>
                <w:b/>
                <w:bCs/>
                <w:color w:val="000000"/>
                <w:szCs w:val="32"/>
              </w:rPr>
              <w:t>61500 Chailloué</w:t>
            </w:r>
            <w:r w:rsidRPr="003C7110">
              <w:rPr>
                <w:rFonts w:ascii="Arial" w:hAnsi="Arial" w:cs="Arial"/>
                <w:b/>
                <w:bCs/>
                <w:color w:val="000000"/>
                <w:szCs w:val="32"/>
              </w:rPr>
              <w:br/>
            </w:r>
          </w:p>
          <w:p w14:paraId="171B6D64" w14:textId="77777777" w:rsidR="003C7110" w:rsidRPr="003C7110" w:rsidRDefault="003C7110" w:rsidP="003C7110">
            <w:pPr>
              <w:autoSpaceDE w:val="0"/>
              <w:autoSpaceDN w:val="0"/>
              <w:adjustRightInd w:val="0"/>
              <w:jc w:val="center"/>
              <w:rPr>
                <w:rFonts w:ascii="Arial" w:hAnsi="Arial" w:cs="Arial"/>
                <w:b/>
                <w:bCs/>
                <w:color w:val="000000"/>
                <w:szCs w:val="32"/>
              </w:rPr>
            </w:pPr>
            <w:r w:rsidRPr="003C7110">
              <w:rPr>
                <w:rFonts w:ascii="Arial" w:hAnsi="Arial" w:cs="Arial"/>
                <w:b/>
                <w:bCs/>
                <w:color w:val="000000"/>
                <w:szCs w:val="32"/>
              </w:rPr>
              <w:t xml:space="preserve"> </w:t>
            </w:r>
            <w:hyperlink r:id="rId6" w:history="1">
              <w:r w:rsidRPr="003C7110">
                <w:rPr>
                  <w:rStyle w:val="Lienhypertexte"/>
                  <w:rFonts w:ascii="Arial" w:hAnsi="Arial" w:cs="Arial"/>
                  <w:b/>
                  <w:bCs/>
                  <w:szCs w:val="32"/>
                </w:rPr>
                <w:t>www.u-a-o.info</w:t>
              </w:r>
            </w:hyperlink>
            <w:r w:rsidRPr="003C7110">
              <w:rPr>
                <w:rFonts w:ascii="Arial" w:hAnsi="Arial" w:cs="Arial"/>
                <w:b/>
                <w:bCs/>
                <w:color w:val="000000"/>
                <w:szCs w:val="32"/>
              </w:rPr>
              <w:br/>
              <w:t xml:space="preserve"> mail : ceta@u-a-o.info</w:t>
            </w:r>
          </w:p>
          <w:p w14:paraId="124042E4" w14:textId="77777777" w:rsidR="003C7110" w:rsidRPr="003C7110" w:rsidRDefault="003C7110" w:rsidP="002166B1">
            <w:pPr>
              <w:autoSpaceDE w:val="0"/>
              <w:autoSpaceDN w:val="0"/>
              <w:adjustRightInd w:val="0"/>
              <w:jc w:val="center"/>
              <w:rPr>
                <w:rFonts w:ascii="Arial" w:hAnsi="Arial" w:cs="Arial"/>
                <w:b/>
                <w:bCs/>
                <w:i/>
                <w:iCs/>
                <w:color w:val="000000"/>
                <w:sz w:val="32"/>
                <w:szCs w:val="40"/>
              </w:rPr>
            </w:pPr>
          </w:p>
        </w:tc>
      </w:tr>
    </w:tbl>
    <w:p w14:paraId="33B5D9CB" w14:textId="77777777" w:rsidR="00DF2019" w:rsidRPr="003C7110" w:rsidRDefault="00DF2019" w:rsidP="00D42E2B">
      <w:pPr>
        <w:ind w:right="-1021"/>
        <w:jc w:val="both"/>
        <w:rPr>
          <w:rFonts w:asciiTheme="minorHAnsi" w:hAnsiTheme="minorHAnsi" w:cstheme="minorHAnsi"/>
          <w:sz w:val="32"/>
          <w:szCs w:val="32"/>
        </w:rPr>
      </w:pPr>
      <w:r>
        <w:rPr>
          <w:sz w:val="36"/>
          <w:szCs w:val="36"/>
        </w:rPr>
        <w:tab/>
      </w:r>
      <w:r w:rsidRPr="00707851">
        <w:rPr>
          <w:sz w:val="32"/>
          <w:szCs w:val="32"/>
        </w:rPr>
        <w:t xml:space="preserve"> </w:t>
      </w:r>
      <w:r w:rsidR="007410B7">
        <w:rPr>
          <w:sz w:val="32"/>
          <w:szCs w:val="32"/>
        </w:rPr>
        <w:t xml:space="preserve">     </w:t>
      </w:r>
      <w:r>
        <w:rPr>
          <w:sz w:val="32"/>
          <w:szCs w:val="32"/>
        </w:rPr>
        <w:t xml:space="preserve"> </w:t>
      </w:r>
      <w:r w:rsidRPr="003C7110">
        <w:rPr>
          <w:rFonts w:asciiTheme="minorHAnsi" w:hAnsiTheme="minorHAnsi" w:cstheme="minorHAnsi"/>
          <w:b/>
          <w:sz w:val="32"/>
          <w:szCs w:val="32"/>
          <w:u w:val="single"/>
        </w:rPr>
        <w:t>L’utilisation des produits d’élevage</w:t>
      </w:r>
      <w:r w:rsidR="007410B7" w:rsidRPr="003C7110">
        <w:rPr>
          <w:rFonts w:asciiTheme="minorHAnsi" w:hAnsiTheme="minorHAnsi" w:cstheme="minorHAnsi"/>
          <w:b/>
          <w:sz w:val="32"/>
          <w:szCs w:val="32"/>
          <w:u w:val="single"/>
        </w:rPr>
        <w:t> :</w:t>
      </w:r>
    </w:p>
    <w:p w14:paraId="627107A0" w14:textId="77777777" w:rsidR="00DF2019" w:rsidRPr="003C7110" w:rsidRDefault="00DF2019" w:rsidP="00D42E2B">
      <w:pPr>
        <w:ind w:right="-1021"/>
        <w:jc w:val="both"/>
        <w:rPr>
          <w:rFonts w:asciiTheme="minorHAnsi" w:hAnsiTheme="minorHAnsi" w:cstheme="minorHAnsi"/>
        </w:rPr>
      </w:pPr>
    </w:p>
    <w:p w14:paraId="253E7EE3" w14:textId="77777777" w:rsidR="00DF2019" w:rsidRPr="003C7110" w:rsidRDefault="00E229B0" w:rsidP="00677928">
      <w:pPr>
        <w:ind w:firstLine="540"/>
        <w:jc w:val="both"/>
        <w:rPr>
          <w:rFonts w:asciiTheme="minorHAnsi" w:hAnsiTheme="minorHAnsi" w:cstheme="minorHAnsi"/>
          <w:b/>
        </w:rPr>
      </w:pPr>
      <w:r w:rsidRPr="003C7110">
        <w:rPr>
          <w:rFonts w:asciiTheme="minorHAnsi" w:hAnsiTheme="minorHAnsi" w:cstheme="minorHAnsi"/>
          <w:b/>
        </w:rPr>
        <w:t xml:space="preserve">La section abeille noire du CETA abeille noire de l’Orne </w:t>
      </w:r>
      <w:r w:rsidR="00DF2019" w:rsidRPr="003C7110">
        <w:rPr>
          <w:rFonts w:asciiTheme="minorHAnsi" w:hAnsiTheme="minorHAnsi" w:cstheme="minorHAnsi"/>
          <w:b/>
        </w:rPr>
        <w:t xml:space="preserve">produit durant la saison apicole (de mai à juillet) des cellules de reines, des reines vierges et des reines fécondées qu’elle met à la disposition des membres de notre </w:t>
      </w:r>
      <w:r w:rsidR="00CD1281" w:rsidRPr="003C7110">
        <w:rPr>
          <w:rFonts w:asciiTheme="minorHAnsi" w:hAnsiTheme="minorHAnsi" w:cstheme="minorHAnsi"/>
          <w:b/>
        </w:rPr>
        <w:t>CETA</w:t>
      </w:r>
      <w:r w:rsidR="00DF2019" w:rsidRPr="003C7110">
        <w:rPr>
          <w:rFonts w:asciiTheme="minorHAnsi" w:hAnsiTheme="minorHAnsi" w:cstheme="minorHAnsi"/>
          <w:b/>
        </w:rPr>
        <w:t>.</w:t>
      </w:r>
    </w:p>
    <w:p w14:paraId="6996844F" w14:textId="77777777" w:rsidR="00DF2019" w:rsidRPr="003C7110" w:rsidRDefault="00DF2019" w:rsidP="00677928">
      <w:pPr>
        <w:ind w:firstLine="540"/>
        <w:jc w:val="both"/>
        <w:rPr>
          <w:rFonts w:asciiTheme="minorHAnsi" w:hAnsiTheme="minorHAnsi" w:cstheme="minorHAnsi"/>
          <w:b/>
        </w:rPr>
      </w:pPr>
      <w:r w:rsidRPr="003C7110">
        <w:rPr>
          <w:rFonts w:asciiTheme="minorHAnsi" w:hAnsiTheme="minorHAnsi" w:cstheme="minorHAnsi"/>
          <w:b/>
        </w:rPr>
        <w:t>L’élevage de reines est pratiqué à partir de colonies de race noire, sélectionnées pour leurs qualités de bon comportement, de rendement régulier et de rusticité.</w:t>
      </w:r>
    </w:p>
    <w:p w14:paraId="4E5EAD3B" w14:textId="77777777" w:rsidR="00DF2019" w:rsidRPr="003C7110" w:rsidRDefault="00DF2019" w:rsidP="00677928">
      <w:pPr>
        <w:ind w:firstLine="540"/>
        <w:jc w:val="both"/>
        <w:rPr>
          <w:rFonts w:asciiTheme="minorHAnsi" w:hAnsiTheme="minorHAnsi" w:cstheme="minorHAnsi"/>
          <w:b/>
        </w:rPr>
      </w:pPr>
    </w:p>
    <w:p w14:paraId="212884CE" w14:textId="77777777" w:rsidR="00DF2019" w:rsidRPr="003C7110" w:rsidRDefault="00DF2019" w:rsidP="00677928">
      <w:pPr>
        <w:ind w:firstLine="540"/>
        <w:jc w:val="both"/>
        <w:rPr>
          <w:rFonts w:asciiTheme="minorHAnsi" w:hAnsiTheme="minorHAnsi" w:cstheme="minorHAnsi"/>
          <w:b/>
          <w:sz w:val="32"/>
          <w:szCs w:val="32"/>
          <w:u w:val="single"/>
        </w:rPr>
      </w:pPr>
      <w:r w:rsidRPr="003C7110">
        <w:rPr>
          <w:rFonts w:asciiTheme="minorHAnsi" w:hAnsiTheme="minorHAnsi" w:cstheme="minorHAnsi"/>
          <w:b/>
          <w:sz w:val="32"/>
          <w:szCs w:val="32"/>
          <w:u w:val="single"/>
        </w:rPr>
        <w:t>Les cellules :</w:t>
      </w:r>
    </w:p>
    <w:p w14:paraId="2A7B9A8B" w14:textId="77777777" w:rsidR="00DF2019" w:rsidRPr="003C7110" w:rsidRDefault="00DF2019" w:rsidP="00677928">
      <w:pPr>
        <w:ind w:firstLine="540"/>
        <w:jc w:val="both"/>
        <w:rPr>
          <w:rFonts w:asciiTheme="minorHAnsi" w:hAnsiTheme="minorHAnsi" w:cstheme="minorHAnsi"/>
        </w:rPr>
      </w:pPr>
      <w:proofErr w:type="gramStart"/>
      <w:r w:rsidRPr="003C7110">
        <w:rPr>
          <w:rFonts w:asciiTheme="minorHAnsi" w:hAnsiTheme="minorHAnsi" w:cstheme="minorHAnsi"/>
        </w:rPr>
        <w:t>L’utilisation  des</w:t>
      </w:r>
      <w:proofErr w:type="gramEnd"/>
      <w:r w:rsidRPr="003C7110">
        <w:rPr>
          <w:rFonts w:asciiTheme="minorHAnsi" w:hAnsiTheme="minorHAnsi" w:cstheme="minorHAnsi"/>
        </w:rPr>
        <w:t xml:space="preserve"> cellules de reines est un moyen facile et peu onéreux de renouveler les reines de ses colonies, faire ses essaims, maintenir ou augmenter son cheptel, en améliorer les qualités et les performances. A ces avantages on peut ajouter la facilité de mise en œuvre et un taux d’acceptation élevé.</w:t>
      </w:r>
    </w:p>
    <w:p w14:paraId="62E499D1"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Les cellules sont utilisables à partir du 10 </w:t>
      </w:r>
      <w:proofErr w:type="spellStart"/>
      <w:r w:rsidRPr="003C7110">
        <w:rPr>
          <w:rFonts w:asciiTheme="minorHAnsi" w:hAnsiTheme="minorHAnsi" w:cstheme="minorHAnsi"/>
        </w:rPr>
        <w:t>ème</w:t>
      </w:r>
      <w:proofErr w:type="spellEnd"/>
      <w:r w:rsidRPr="003C7110">
        <w:rPr>
          <w:rFonts w:asciiTheme="minorHAnsi" w:hAnsiTheme="minorHAnsi" w:cstheme="minorHAnsi"/>
        </w:rPr>
        <w:t xml:space="preserve"> jour depuis le greffage et de préférence le 11 </w:t>
      </w:r>
      <w:proofErr w:type="spellStart"/>
      <w:r w:rsidRPr="003C7110">
        <w:rPr>
          <w:rFonts w:asciiTheme="minorHAnsi" w:hAnsiTheme="minorHAnsi" w:cstheme="minorHAnsi"/>
        </w:rPr>
        <w:t>ème</w:t>
      </w:r>
      <w:proofErr w:type="spellEnd"/>
      <w:r w:rsidRPr="003C7110">
        <w:rPr>
          <w:rFonts w:asciiTheme="minorHAnsi" w:hAnsiTheme="minorHAnsi" w:cstheme="minorHAnsi"/>
        </w:rPr>
        <w:t>.</w:t>
      </w:r>
    </w:p>
    <w:p w14:paraId="76EDC02A" w14:textId="1054CD11"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A ce stade elles sont moins </w:t>
      </w:r>
      <w:r w:rsidR="003C7110" w:rsidRPr="003C7110">
        <w:rPr>
          <w:rFonts w:asciiTheme="minorHAnsi" w:hAnsiTheme="minorHAnsi" w:cstheme="minorHAnsi"/>
        </w:rPr>
        <w:t>sensibles aux</w:t>
      </w:r>
      <w:r w:rsidRPr="003C7110">
        <w:rPr>
          <w:rFonts w:asciiTheme="minorHAnsi" w:hAnsiTheme="minorHAnsi" w:cstheme="minorHAnsi"/>
        </w:rPr>
        <w:t xml:space="preserve"> chocs physiques et de température. Il est préférable cependant à les manier avec précaution.</w:t>
      </w:r>
    </w:p>
    <w:p w14:paraId="19F1F1EA"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 </w:t>
      </w:r>
    </w:p>
    <w:p w14:paraId="71DA4BC9" w14:textId="77777777" w:rsidR="00DF2019" w:rsidRPr="003C7110" w:rsidRDefault="00DF2019" w:rsidP="00677928">
      <w:pPr>
        <w:ind w:firstLine="540"/>
        <w:jc w:val="both"/>
        <w:rPr>
          <w:rFonts w:asciiTheme="minorHAnsi" w:hAnsiTheme="minorHAnsi" w:cstheme="minorHAnsi"/>
          <w:b/>
          <w:sz w:val="32"/>
          <w:szCs w:val="32"/>
          <w:u w:val="single"/>
        </w:rPr>
      </w:pPr>
      <w:r w:rsidRPr="003C7110">
        <w:rPr>
          <w:rFonts w:asciiTheme="minorHAnsi" w:hAnsiTheme="minorHAnsi" w:cstheme="minorHAnsi"/>
          <w:b/>
        </w:rPr>
        <w:t xml:space="preserve">                </w:t>
      </w:r>
      <w:r w:rsidR="007410B7" w:rsidRPr="003C7110">
        <w:rPr>
          <w:rFonts w:asciiTheme="minorHAnsi" w:hAnsiTheme="minorHAnsi" w:cstheme="minorHAnsi"/>
          <w:b/>
        </w:rPr>
        <w:t xml:space="preserve">                   </w:t>
      </w:r>
      <w:r w:rsidRPr="003C7110">
        <w:rPr>
          <w:rFonts w:asciiTheme="minorHAnsi" w:hAnsiTheme="minorHAnsi" w:cstheme="minorHAnsi"/>
          <w:b/>
          <w:sz w:val="32"/>
          <w:szCs w:val="32"/>
          <w:u w:val="single"/>
        </w:rPr>
        <w:t>Quelques utilisations possibles</w:t>
      </w:r>
    </w:p>
    <w:p w14:paraId="5E9A5D8C" w14:textId="77777777" w:rsidR="00DF2019" w:rsidRPr="003C7110" w:rsidRDefault="00DF2019" w:rsidP="00677928">
      <w:pPr>
        <w:ind w:firstLine="540"/>
        <w:jc w:val="both"/>
        <w:rPr>
          <w:rFonts w:asciiTheme="minorHAnsi" w:hAnsiTheme="minorHAnsi" w:cstheme="minorHAnsi"/>
          <w:u w:val="single"/>
        </w:rPr>
      </w:pPr>
    </w:p>
    <w:p w14:paraId="6303A3B1" w14:textId="77777777" w:rsidR="00DF2019" w:rsidRPr="003C7110" w:rsidRDefault="00DF2019" w:rsidP="00677928">
      <w:pPr>
        <w:ind w:firstLine="540"/>
        <w:jc w:val="both"/>
        <w:rPr>
          <w:rFonts w:asciiTheme="minorHAnsi" w:hAnsiTheme="minorHAnsi" w:cstheme="minorHAnsi"/>
          <w:b/>
          <w:sz w:val="32"/>
          <w:szCs w:val="32"/>
          <w:u w:val="single"/>
        </w:rPr>
      </w:pPr>
      <w:r w:rsidRPr="003C7110">
        <w:rPr>
          <w:rFonts w:asciiTheme="minorHAnsi" w:hAnsiTheme="minorHAnsi" w:cstheme="minorHAnsi"/>
          <w:b/>
          <w:sz w:val="32"/>
          <w:szCs w:val="32"/>
          <w:u w:val="single"/>
        </w:rPr>
        <w:t>L’essaim sur cadres :</w:t>
      </w:r>
    </w:p>
    <w:p w14:paraId="1DABA35B"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Procéder comme il est indiqué dans la fiche </w:t>
      </w:r>
      <w:proofErr w:type="gramStart"/>
      <w:r w:rsidRPr="003C7110">
        <w:rPr>
          <w:rFonts w:asciiTheme="minorHAnsi" w:hAnsiTheme="minorHAnsi" w:cstheme="minorHAnsi"/>
        </w:rPr>
        <w:t>technique  «</w:t>
      </w:r>
      <w:proofErr w:type="gramEnd"/>
      <w:r w:rsidRPr="003C7110">
        <w:rPr>
          <w:rFonts w:asciiTheme="minorHAnsi" w:hAnsiTheme="minorHAnsi" w:cstheme="minorHAnsi"/>
        </w:rPr>
        <w:t> l’essaimage artificiel »</w:t>
      </w:r>
    </w:p>
    <w:p w14:paraId="5CA69CAB"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b/>
        </w:rPr>
        <w:t>1)</w:t>
      </w:r>
      <w:r w:rsidRPr="003C7110">
        <w:rPr>
          <w:rFonts w:asciiTheme="minorHAnsi" w:hAnsiTheme="minorHAnsi" w:cstheme="minorHAnsi"/>
        </w:rPr>
        <w:t xml:space="preserve"> A la confection de l’essaim introduire la cellule qui aura été préalablement placée dans un protège cellule ou tube protecteur, la pointe découverte pour permettre à la reine de se libérer seule et la protéger des abeilles avant sa naissance. Ce protège cellule sera placé entre 2 têtes de cadres de couvain ou mieux, piqué sur le couvain.    Une reine naissante est bien acceptée par les abeilles. </w:t>
      </w:r>
    </w:p>
    <w:p w14:paraId="7ED53850"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Si l’on n’a pas repéré dans quel élément se trouve la reine, le plus simple est de placer une cellule dans la souche et dans l’essaim et </w:t>
      </w:r>
      <w:proofErr w:type="gramStart"/>
      <w:r w:rsidRPr="003C7110">
        <w:rPr>
          <w:rFonts w:asciiTheme="minorHAnsi" w:hAnsiTheme="minorHAnsi" w:cstheme="minorHAnsi"/>
        </w:rPr>
        <w:t>dans  chaque</w:t>
      </w:r>
      <w:proofErr w:type="gramEnd"/>
      <w:r w:rsidRPr="003C7110">
        <w:rPr>
          <w:rFonts w:asciiTheme="minorHAnsi" w:hAnsiTheme="minorHAnsi" w:cstheme="minorHAnsi"/>
        </w:rPr>
        <w:t xml:space="preserve"> élément dans le cas </w:t>
      </w:r>
      <w:proofErr w:type="spellStart"/>
      <w:r w:rsidRPr="003C7110">
        <w:rPr>
          <w:rFonts w:asciiTheme="minorHAnsi" w:hAnsiTheme="minorHAnsi" w:cstheme="minorHAnsi"/>
        </w:rPr>
        <w:t>ou</w:t>
      </w:r>
      <w:proofErr w:type="spellEnd"/>
      <w:r w:rsidRPr="003C7110">
        <w:rPr>
          <w:rFonts w:asciiTheme="minorHAnsi" w:hAnsiTheme="minorHAnsi" w:cstheme="minorHAnsi"/>
        </w:rPr>
        <w:t xml:space="preserve"> l’on scinde la colonie en 2.</w:t>
      </w:r>
    </w:p>
    <w:p w14:paraId="54DE605A"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b/>
        </w:rPr>
        <w:t>2)</w:t>
      </w:r>
      <w:r w:rsidRPr="003C7110">
        <w:rPr>
          <w:rFonts w:asciiTheme="minorHAnsi" w:hAnsiTheme="minorHAnsi" w:cstheme="minorHAnsi"/>
        </w:rPr>
        <w:t xml:space="preserve"> Mais pourquoi gâcher ces précieuses cellules si on peut l’éviter.  On peut effectuer la même opération après 24 ou 48 heures. Dans ce cas on pourra repérer </w:t>
      </w:r>
      <w:proofErr w:type="gramStart"/>
      <w:r w:rsidRPr="003C7110">
        <w:rPr>
          <w:rFonts w:asciiTheme="minorHAnsi" w:hAnsiTheme="minorHAnsi" w:cstheme="minorHAnsi"/>
        </w:rPr>
        <w:t>ou</w:t>
      </w:r>
      <w:proofErr w:type="gramEnd"/>
      <w:r w:rsidRPr="003C7110">
        <w:rPr>
          <w:rFonts w:asciiTheme="minorHAnsi" w:hAnsiTheme="minorHAnsi" w:cstheme="minorHAnsi"/>
        </w:rPr>
        <w:t xml:space="preserve"> se trouve la partie orpheline dans laquelle on introduira notre cellule après avoir supprimé les cellules naturelles qui auront été édifiées durant ce laps de temps.</w:t>
      </w:r>
    </w:p>
    <w:p w14:paraId="7223504F"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Certains ne suppriment pas ces cellules naturelles, laissant le soin de le </w:t>
      </w:r>
      <w:proofErr w:type="gramStart"/>
      <w:r w:rsidRPr="003C7110">
        <w:rPr>
          <w:rFonts w:asciiTheme="minorHAnsi" w:hAnsiTheme="minorHAnsi" w:cstheme="minorHAnsi"/>
        </w:rPr>
        <w:t>faire  aux</w:t>
      </w:r>
      <w:proofErr w:type="gramEnd"/>
      <w:r w:rsidRPr="003C7110">
        <w:rPr>
          <w:rFonts w:asciiTheme="minorHAnsi" w:hAnsiTheme="minorHAnsi" w:cstheme="minorHAnsi"/>
        </w:rPr>
        <w:t xml:space="preserve"> abeilles. Au cas où la cellule n’éclorait pas, subsiste cette solution de rechange.</w:t>
      </w:r>
    </w:p>
    <w:p w14:paraId="4FCCCAF4"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Vous avez intérêt à faire des essaims qui soient assez petits. L’essentiel étant d’obtenir </w:t>
      </w:r>
      <w:r w:rsidRPr="003C7110">
        <w:rPr>
          <w:rFonts w:asciiTheme="minorHAnsi" w:hAnsiTheme="minorHAnsi" w:cstheme="minorHAnsi"/>
        </w:rPr>
        <w:lastRenderedPageBreak/>
        <w:t xml:space="preserve">une bonne fécondation de vos reines. Les essaims retrouvés orphelins seront réunis et viendront conforter et enrichir ceux qui auront réussi. </w:t>
      </w:r>
    </w:p>
    <w:p w14:paraId="7E92CDFA"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En procédant de cette façon </w:t>
      </w:r>
      <w:r w:rsidRPr="003C7110">
        <w:rPr>
          <w:rFonts w:asciiTheme="minorHAnsi" w:hAnsiTheme="minorHAnsi" w:cstheme="minorHAnsi"/>
          <w:b/>
        </w:rPr>
        <w:t>vous gagnez une bonne dizaine de jours</w:t>
      </w:r>
      <w:r w:rsidRPr="003C7110">
        <w:rPr>
          <w:rFonts w:asciiTheme="minorHAnsi" w:hAnsiTheme="minorHAnsi" w:cstheme="minorHAnsi"/>
        </w:rPr>
        <w:t xml:space="preserve"> par rapport à la méthode classique.</w:t>
      </w:r>
    </w:p>
    <w:p w14:paraId="60F4D9C4" w14:textId="77777777" w:rsidR="00DF2019" w:rsidRPr="003C7110" w:rsidRDefault="00DF2019" w:rsidP="00677928">
      <w:pPr>
        <w:ind w:firstLine="540"/>
        <w:jc w:val="both"/>
        <w:rPr>
          <w:rFonts w:asciiTheme="minorHAnsi" w:hAnsiTheme="minorHAnsi" w:cstheme="minorHAnsi"/>
        </w:rPr>
      </w:pPr>
    </w:p>
    <w:p w14:paraId="2C532E6A" w14:textId="77777777" w:rsidR="00DF2019" w:rsidRPr="003C7110" w:rsidRDefault="00DF2019" w:rsidP="00677928">
      <w:pPr>
        <w:ind w:firstLine="540"/>
        <w:jc w:val="both"/>
        <w:rPr>
          <w:rFonts w:asciiTheme="minorHAnsi" w:hAnsiTheme="minorHAnsi" w:cstheme="minorHAnsi"/>
          <w:b/>
          <w:sz w:val="32"/>
          <w:szCs w:val="32"/>
          <w:u w:val="single"/>
        </w:rPr>
      </w:pPr>
      <w:r w:rsidRPr="003C7110">
        <w:rPr>
          <w:rFonts w:asciiTheme="minorHAnsi" w:hAnsiTheme="minorHAnsi" w:cstheme="minorHAnsi"/>
          <w:b/>
          <w:sz w:val="32"/>
          <w:szCs w:val="32"/>
          <w:u w:val="single"/>
        </w:rPr>
        <w:t>Faire des essaims en éliminant ses colonies insatisfaisantes (</w:t>
      </w:r>
      <w:proofErr w:type="gramStart"/>
      <w:r w:rsidRPr="003C7110">
        <w:rPr>
          <w:rFonts w:asciiTheme="minorHAnsi" w:hAnsiTheme="minorHAnsi" w:cstheme="minorHAnsi"/>
          <w:b/>
          <w:sz w:val="32"/>
          <w:szCs w:val="32"/>
          <w:u w:val="single"/>
        </w:rPr>
        <w:t>non valeurs</w:t>
      </w:r>
      <w:proofErr w:type="gramEnd"/>
      <w:r w:rsidRPr="003C7110">
        <w:rPr>
          <w:rFonts w:asciiTheme="minorHAnsi" w:hAnsiTheme="minorHAnsi" w:cstheme="minorHAnsi"/>
          <w:b/>
          <w:sz w:val="32"/>
          <w:szCs w:val="32"/>
          <w:u w:val="single"/>
        </w:rPr>
        <w:t>, peu productives, très agressives ou métissées) :</w:t>
      </w:r>
    </w:p>
    <w:p w14:paraId="0E2855CD"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A) Eliminer la reine et faire autant d’essaims que possible en réunissant à chaque fois 2 cadres de couvain et un cadre de provisions en ruchette. Introduire les cellules dans le même temps.</w:t>
      </w:r>
    </w:p>
    <w:p w14:paraId="3C706347"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B) faire la même opération sans recherche de reine et introduire les cellules après 24 ou 48 heures après retrait de la reine dans l’un des essaims (plus facile) et des cellules naturelles.</w:t>
      </w:r>
    </w:p>
    <w:p w14:paraId="3E9D7169" w14:textId="77777777" w:rsidR="00DF2019" w:rsidRPr="003C7110" w:rsidRDefault="00DF2019" w:rsidP="00677928">
      <w:pPr>
        <w:ind w:firstLine="540"/>
        <w:jc w:val="both"/>
        <w:rPr>
          <w:rFonts w:asciiTheme="minorHAnsi" w:hAnsiTheme="minorHAnsi" w:cstheme="minorHAnsi"/>
        </w:rPr>
      </w:pPr>
    </w:p>
    <w:p w14:paraId="3914A216" w14:textId="77777777" w:rsidR="00DF2019" w:rsidRPr="003C7110" w:rsidRDefault="00DF2019" w:rsidP="00677928">
      <w:pPr>
        <w:ind w:firstLine="540"/>
        <w:jc w:val="both"/>
        <w:rPr>
          <w:rFonts w:asciiTheme="minorHAnsi" w:hAnsiTheme="minorHAnsi" w:cstheme="minorHAnsi"/>
          <w:b/>
          <w:sz w:val="32"/>
          <w:szCs w:val="32"/>
          <w:u w:val="single"/>
        </w:rPr>
      </w:pPr>
      <w:r w:rsidRPr="003C7110">
        <w:rPr>
          <w:rFonts w:asciiTheme="minorHAnsi" w:hAnsiTheme="minorHAnsi" w:cstheme="minorHAnsi"/>
          <w:b/>
          <w:sz w:val="32"/>
          <w:szCs w:val="32"/>
          <w:u w:val="single"/>
        </w:rPr>
        <w:t>Remérer une colonie orpheline :</w:t>
      </w:r>
    </w:p>
    <w:p w14:paraId="679AF0C5"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Après avoir introduit un cadre de couvain (dont du couvain ouvert) dans la colonie qui vous paraît être orpheline et constaté la présence de cellules naturelles vous pouvez laisser évoluer la situation ou introduire une cellule mûre (10 ou 11</w:t>
      </w:r>
      <w:r w:rsidRPr="003C7110">
        <w:rPr>
          <w:rFonts w:asciiTheme="minorHAnsi" w:hAnsiTheme="minorHAnsi" w:cstheme="minorHAnsi"/>
          <w:vertAlign w:val="superscript"/>
        </w:rPr>
        <w:t>ème</w:t>
      </w:r>
      <w:r w:rsidRPr="003C7110">
        <w:rPr>
          <w:rFonts w:asciiTheme="minorHAnsi" w:hAnsiTheme="minorHAnsi" w:cstheme="minorHAnsi"/>
        </w:rPr>
        <w:t xml:space="preserve"> jour).</w:t>
      </w:r>
    </w:p>
    <w:p w14:paraId="3E139A0C"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S’il n’est pas trop tard en saison (avant l’été de préférence) on peut aussi diviser cette colonie en 2 ou 3 éléments et procéder comme expliqué précédemment.</w:t>
      </w:r>
    </w:p>
    <w:p w14:paraId="11098818"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Les opérations seront facilitées si l’introduction des cellules se fait en fin de journée, accompagnées d’un léger nourrissement.</w:t>
      </w:r>
    </w:p>
    <w:p w14:paraId="35B6AA01" w14:textId="77777777" w:rsidR="00DF2019" w:rsidRPr="003C7110" w:rsidRDefault="00DF2019" w:rsidP="00677928">
      <w:pPr>
        <w:ind w:firstLine="540"/>
        <w:jc w:val="both"/>
        <w:rPr>
          <w:rFonts w:asciiTheme="minorHAnsi" w:hAnsiTheme="minorHAnsi" w:cstheme="minorHAnsi"/>
        </w:rPr>
      </w:pPr>
    </w:p>
    <w:p w14:paraId="3BA4C56D" w14:textId="77777777" w:rsidR="00DF2019" w:rsidRPr="003C7110" w:rsidRDefault="00DF2019" w:rsidP="00677928">
      <w:pPr>
        <w:ind w:firstLine="540"/>
        <w:jc w:val="both"/>
        <w:rPr>
          <w:rFonts w:asciiTheme="minorHAnsi" w:hAnsiTheme="minorHAnsi" w:cstheme="minorHAnsi"/>
        </w:rPr>
      </w:pPr>
      <w:r w:rsidRPr="003C7110">
        <w:rPr>
          <w:rFonts w:asciiTheme="minorHAnsi" w:hAnsiTheme="minorHAnsi" w:cstheme="minorHAnsi"/>
        </w:rPr>
        <w:t xml:space="preserve">Rédigé en janvier 2013     Raymond Daman  </w:t>
      </w:r>
    </w:p>
    <w:p w14:paraId="3B36B101" w14:textId="77777777" w:rsidR="007410B7" w:rsidRPr="007410B7" w:rsidRDefault="007410B7">
      <w:pPr>
        <w:ind w:firstLine="540"/>
        <w:jc w:val="both"/>
      </w:pPr>
    </w:p>
    <w:sectPr w:rsidR="007410B7" w:rsidRPr="007410B7" w:rsidSect="00B237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2613B"/>
    <w:multiLevelType w:val="hybridMultilevel"/>
    <w:tmpl w:val="95626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0556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D7"/>
    <w:rsid w:val="000410CE"/>
    <w:rsid w:val="00114DEF"/>
    <w:rsid w:val="001E4FAB"/>
    <w:rsid w:val="00235C10"/>
    <w:rsid w:val="00243E4E"/>
    <w:rsid w:val="002A4BB2"/>
    <w:rsid w:val="00345763"/>
    <w:rsid w:val="003A12C5"/>
    <w:rsid w:val="003A409A"/>
    <w:rsid w:val="003C45E6"/>
    <w:rsid w:val="003C7110"/>
    <w:rsid w:val="00410642"/>
    <w:rsid w:val="004174B9"/>
    <w:rsid w:val="00443F0F"/>
    <w:rsid w:val="00450BA9"/>
    <w:rsid w:val="0046256B"/>
    <w:rsid w:val="005575CC"/>
    <w:rsid w:val="005628E8"/>
    <w:rsid w:val="005E36F1"/>
    <w:rsid w:val="006173A1"/>
    <w:rsid w:val="00652C50"/>
    <w:rsid w:val="00677928"/>
    <w:rsid w:val="0069047B"/>
    <w:rsid w:val="006D20B2"/>
    <w:rsid w:val="006F5D72"/>
    <w:rsid w:val="00707851"/>
    <w:rsid w:val="007410B7"/>
    <w:rsid w:val="00756A6E"/>
    <w:rsid w:val="007939CF"/>
    <w:rsid w:val="007B28BC"/>
    <w:rsid w:val="00864C9C"/>
    <w:rsid w:val="008D2A95"/>
    <w:rsid w:val="008D580D"/>
    <w:rsid w:val="008F23C0"/>
    <w:rsid w:val="00946F48"/>
    <w:rsid w:val="0095603E"/>
    <w:rsid w:val="00965BBC"/>
    <w:rsid w:val="00991D91"/>
    <w:rsid w:val="00A86CF1"/>
    <w:rsid w:val="00AA278D"/>
    <w:rsid w:val="00AF7368"/>
    <w:rsid w:val="00B237C2"/>
    <w:rsid w:val="00B601E0"/>
    <w:rsid w:val="00B61667"/>
    <w:rsid w:val="00B8185D"/>
    <w:rsid w:val="00BB7871"/>
    <w:rsid w:val="00C15337"/>
    <w:rsid w:val="00CD1281"/>
    <w:rsid w:val="00D16030"/>
    <w:rsid w:val="00D42E2B"/>
    <w:rsid w:val="00DF2019"/>
    <w:rsid w:val="00E229B0"/>
    <w:rsid w:val="00E7161E"/>
    <w:rsid w:val="00E86ECA"/>
    <w:rsid w:val="00E922D7"/>
    <w:rsid w:val="00F10564"/>
    <w:rsid w:val="00F40CD9"/>
    <w:rsid w:val="00F563F4"/>
    <w:rsid w:val="00F57EFF"/>
    <w:rsid w:val="00FF3E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7DF404"/>
  <w15:docId w15:val="{6D977DC9-1133-460A-937D-FAC09578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DEF"/>
    <w:pPr>
      <w:widowControl w:val="0"/>
      <w:suppressAutoHyphens/>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E922D7"/>
    <w:pPr>
      <w:widowControl/>
      <w:suppressAutoHyphens w:val="0"/>
      <w:spacing w:after="200" w:line="276" w:lineRule="auto"/>
      <w:ind w:left="720"/>
      <w:contextualSpacing/>
    </w:pPr>
    <w:rPr>
      <w:rFonts w:ascii="Calibri" w:hAnsi="Calibri"/>
      <w:sz w:val="22"/>
      <w:szCs w:val="22"/>
      <w:lang w:eastAsia="en-US"/>
    </w:rPr>
  </w:style>
  <w:style w:type="character" w:styleId="Lienhypertexte">
    <w:name w:val="Hyperlink"/>
    <w:basedOn w:val="Policepardfaut"/>
    <w:uiPriority w:val="99"/>
    <w:unhideWhenUsed/>
    <w:rsid w:val="007410B7"/>
    <w:rPr>
      <w:color w:val="0000FF"/>
      <w:u w:val="single"/>
    </w:rPr>
  </w:style>
  <w:style w:type="character" w:styleId="Mentionnonrsolue">
    <w:name w:val="Unresolved Mention"/>
    <w:basedOn w:val="Policepardfaut"/>
    <w:uiPriority w:val="99"/>
    <w:semiHidden/>
    <w:unhideWhenUsed/>
    <w:rsid w:val="003C7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a-o.info"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scar\Documents\Ent&#234;te%20syndic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Entête syndicat.dot</Template>
  <TotalTime>3</TotalTime>
  <Pages>1</Pages>
  <Words>608</Words>
  <Characters>3344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Gérard Corvée</cp:lastModifiedBy>
  <cp:revision>4</cp:revision>
  <cp:lastPrinted>2014-06-08T19:39:00Z</cp:lastPrinted>
  <dcterms:created xsi:type="dcterms:W3CDTF">2020-02-06T12:20:00Z</dcterms:created>
  <dcterms:modified xsi:type="dcterms:W3CDTF">2023-02-02T10:52:00Z</dcterms:modified>
</cp:coreProperties>
</file>